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953857" w14:textId="77777777" w:rsidR="00181329" w:rsidRPr="00181329" w:rsidRDefault="00181329" w:rsidP="00181329">
      <w:pPr>
        <w:widowControl w:val="0"/>
        <w:overflowPunct w:val="0"/>
        <w:adjustRightInd w:val="0"/>
        <w:snapToGrid w:val="0"/>
        <w:spacing w:after="0" w:line="240" w:lineRule="atLeast"/>
        <w:jc w:val="both"/>
        <w:rPr>
          <w:rFonts w:ascii="SimHei" w:eastAsia="SimHei" w:hAnsi="SimHei" w:cs="FangSong_GB2312"/>
          <w:bCs/>
          <w:kern w:val="0"/>
          <w:sz w:val="32"/>
          <w:szCs w:val="32"/>
          <w:lang w:val="en-US"/>
          <w14:ligatures w14:val="none"/>
        </w:rPr>
      </w:pPr>
      <w:r w:rsidRPr="00181329">
        <w:rPr>
          <w:rFonts w:ascii="SimHei" w:eastAsia="SimHei" w:hAnsi="SimHei" w:cs="FangSong_GB2312"/>
          <w:bCs/>
          <w:kern w:val="0"/>
          <w:sz w:val="32"/>
          <w:szCs w:val="32"/>
          <w:lang w:val="en-US"/>
          <w14:ligatures w14:val="none"/>
        </w:rPr>
        <w:t>附件1</w:t>
      </w:r>
    </w:p>
    <w:p w14:paraId="289F4ABB" w14:textId="77777777" w:rsidR="00181329" w:rsidRPr="00181329" w:rsidRDefault="00181329" w:rsidP="00181329">
      <w:pPr>
        <w:widowControl w:val="0"/>
        <w:overflowPunct w:val="0"/>
        <w:adjustRightInd w:val="0"/>
        <w:snapToGrid w:val="0"/>
        <w:spacing w:after="0" w:line="240" w:lineRule="atLeast"/>
        <w:jc w:val="both"/>
        <w:rPr>
          <w:rFonts w:ascii="FangSong_GB2312" w:eastAsia="FangSong_GB2312" w:hAnsi="FangSong_GB2312" w:cs="FangSong_GB2312"/>
          <w:bCs/>
          <w:kern w:val="0"/>
          <w:sz w:val="28"/>
          <w:szCs w:val="28"/>
          <w:lang w:val="en-US"/>
          <w14:ligatures w14:val="none"/>
        </w:rPr>
      </w:pPr>
    </w:p>
    <w:p w14:paraId="0202BBB5" w14:textId="77777777" w:rsidR="00181329" w:rsidRPr="00181329" w:rsidRDefault="00181329" w:rsidP="00181329">
      <w:pPr>
        <w:widowControl w:val="0"/>
        <w:overflowPunct w:val="0"/>
        <w:adjustRightInd w:val="0"/>
        <w:snapToGrid w:val="0"/>
        <w:spacing w:after="0" w:line="720" w:lineRule="exact"/>
        <w:jc w:val="center"/>
        <w:rPr>
          <w:rFonts w:ascii="FZXiaoBiaoSong-B05S" w:eastAsia="FZXiaoBiaoSong-B05S" w:hAnsi="FZXiaoBiaoSong-B05S" w:cs="FZXiaoBiaoSong-B05S"/>
          <w:kern w:val="0"/>
          <w:sz w:val="44"/>
          <w:szCs w:val="44"/>
          <w:lang w:val="en-US"/>
          <w14:ligatures w14:val="none"/>
        </w:rPr>
      </w:pPr>
      <w:r w:rsidRPr="00181329">
        <w:rPr>
          <w:rFonts w:ascii="FZXiaoBiaoSong-B05S" w:eastAsia="FZXiaoBiaoSong-B05S" w:hAnsi="FZXiaoBiaoSong-B05S" w:cs="FZXiaoBiaoSong-B05S"/>
          <w:kern w:val="0"/>
          <w:sz w:val="44"/>
          <w:szCs w:val="44"/>
          <w:lang w:val="en-US"/>
          <w14:ligatures w14:val="none"/>
        </w:rPr>
        <w:t>活动议程</w:t>
      </w:r>
    </w:p>
    <w:p w14:paraId="3DE7C514" w14:textId="77777777" w:rsidR="00181329" w:rsidRPr="00181329" w:rsidRDefault="00181329" w:rsidP="00181329">
      <w:pPr>
        <w:widowControl w:val="0"/>
        <w:spacing w:after="0" w:line="580" w:lineRule="exact"/>
        <w:ind w:firstLineChars="200" w:firstLine="640"/>
        <w:jc w:val="both"/>
        <w:rPr>
          <w:rFonts w:ascii="SimHei" w:eastAsia="SimHei" w:hAnsi="Calibri" w:cs="Arial"/>
          <w:color w:val="333333"/>
          <w:sz w:val="32"/>
          <w:szCs w:val="32"/>
          <w:lang w:val="en-US"/>
          <w14:ligatures w14:val="none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980"/>
        <w:gridCol w:w="5386"/>
        <w:gridCol w:w="1560"/>
      </w:tblGrid>
      <w:tr w:rsidR="00181329" w:rsidRPr="00181329" w14:paraId="76D97EE7" w14:textId="77777777" w:rsidTr="00BF33A5">
        <w:tc>
          <w:tcPr>
            <w:tcW w:w="8926" w:type="dxa"/>
            <w:gridSpan w:val="3"/>
            <w:vAlign w:val="center"/>
          </w:tcPr>
          <w:p w14:paraId="7F805E31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赴港上市基本认知与路径普及</w:t>
            </w:r>
          </w:p>
          <w:p w14:paraId="7AAA6B0B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（</w:t>
            </w:r>
            <w:r w:rsidRPr="00181329">
              <w:rPr>
                <w:rFonts w:ascii="FangSong_GB2312" w:eastAsia="FangSong_GB2312" w:hAnsi="FangSong_GB2312" w:cs="Times New Roman"/>
                <w:sz w:val="32"/>
                <w:szCs w:val="32"/>
                <w:lang w:val="en-US"/>
                <w14:ligatures w14:val="none"/>
              </w:rPr>
              <w:t>2026</w:t>
            </w: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年</w:t>
            </w:r>
            <w:r w:rsidRPr="00181329">
              <w:rPr>
                <w:rFonts w:ascii="FangSong_GB2312" w:eastAsia="FangSong_GB2312" w:hAnsi="FangSong_GB2312" w:cs="Times New Roman"/>
                <w:sz w:val="32"/>
                <w:szCs w:val="32"/>
                <w:lang w:val="en-US"/>
                <w14:ligatures w14:val="none"/>
              </w:rPr>
              <w:t>5</w:t>
            </w: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月</w:t>
            </w:r>
            <w:r w:rsidRPr="00181329">
              <w:rPr>
                <w:rFonts w:ascii="FangSong_GB2312" w:eastAsia="FangSong_GB2312" w:hAnsi="FangSong_GB2312" w:cs="Times New Roman"/>
                <w:sz w:val="32"/>
                <w:szCs w:val="32"/>
                <w:lang w:val="en-US"/>
                <w14:ligatures w14:val="none"/>
              </w:rPr>
              <w:t>22</w:t>
            </w: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日）</w:t>
            </w:r>
          </w:p>
        </w:tc>
      </w:tr>
      <w:tr w:rsidR="00181329" w:rsidRPr="00181329" w14:paraId="792DA194" w14:textId="77777777" w:rsidTr="00BF33A5">
        <w:tc>
          <w:tcPr>
            <w:tcW w:w="1980" w:type="dxa"/>
            <w:vAlign w:val="center"/>
          </w:tcPr>
          <w:p w14:paraId="10E65224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时段</w:t>
            </w:r>
          </w:p>
        </w:tc>
        <w:tc>
          <w:tcPr>
            <w:tcW w:w="5386" w:type="dxa"/>
            <w:vAlign w:val="center"/>
          </w:tcPr>
          <w:p w14:paraId="6EE9EA0B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简介</w:t>
            </w:r>
          </w:p>
        </w:tc>
        <w:tc>
          <w:tcPr>
            <w:tcW w:w="1560" w:type="dxa"/>
            <w:vAlign w:val="center"/>
          </w:tcPr>
          <w:p w14:paraId="1EC4A654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参与方</w:t>
            </w:r>
          </w:p>
        </w:tc>
      </w:tr>
      <w:tr w:rsidR="00181329" w:rsidRPr="00181329" w14:paraId="626D1A13" w14:textId="77777777" w:rsidTr="00BF33A5">
        <w:trPr>
          <w:trHeight w:val="271"/>
        </w:trPr>
        <w:tc>
          <w:tcPr>
            <w:tcW w:w="1980" w:type="dxa"/>
            <w:vAlign w:val="center"/>
          </w:tcPr>
          <w:p w14:paraId="669CAC64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9:15-9:45</w:t>
            </w:r>
          </w:p>
        </w:tc>
        <w:tc>
          <w:tcPr>
            <w:tcW w:w="5386" w:type="dxa"/>
            <w:vAlign w:val="center"/>
          </w:tcPr>
          <w:p w14:paraId="238E5B76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入场签到、会前自由交流</w:t>
            </w:r>
          </w:p>
        </w:tc>
        <w:tc>
          <w:tcPr>
            <w:tcW w:w="1560" w:type="dxa"/>
            <w:vAlign w:val="center"/>
          </w:tcPr>
          <w:p w14:paraId="27577D42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</w:p>
        </w:tc>
      </w:tr>
      <w:tr w:rsidR="00181329" w:rsidRPr="00181329" w14:paraId="59E01199" w14:textId="77777777" w:rsidTr="00BF33A5">
        <w:tc>
          <w:tcPr>
            <w:tcW w:w="1980" w:type="dxa"/>
            <w:vAlign w:val="center"/>
          </w:tcPr>
          <w:p w14:paraId="0E8E4796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9:45-10:00</w:t>
            </w:r>
          </w:p>
        </w:tc>
        <w:tc>
          <w:tcPr>
            <w:tcW w:w="5386" w:type="dxa"/>
            <w:vAlign w:val="center"/>
          </w:tcPr>
          <w:p w14:paraId="035D0290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宏观政策与市场讲解</w:t>
            </w:r>
          </w:p>
        </w:tc>
        <w:tc>
          <w:tcPr>
            <w:tcW w:w="1560" w:type="dxa"/>
            <w:vAlign w:val="center"/>
          </w:tcPr>
          <w:p w14:paraId="22380337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</w:p>
        </w:tc>
      </w:tr>
      <w:tr w:rsidR="00181329" w:rsidRPr="00181329" w14:paraId="0D4157A7" w14:textId="77777777" w:rsidTr="00BF33A5">
        <w:tc>
          <w:tcPr>
            <w:tcW w:w="1980" w:type="dxa"/>
            <w:vAlign w:val="center"/>
          </w:tcPr>
          <w:p w14:paraId="040FF267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10:00-11:30</w:t>
            </w:r>
          </w:p>
        </w:tc>
        <w:tc>
          <w:tcPr>
            <w:tcW w:w="5386" w:type="dxa"/>
            <w:vAlign w:val="center"/>
          </w:tcPr>
          <w:p w14:paraId="72D30865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  <w:t>核心问题：当前香港资本市场的制度红利与政策窗口，如何转化为企业的上市机遇？</w:t>
            </w:r>
          </w:p>
          <w:p w14:paraId="24F606A0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要点分解：①市场定位：全球资金自由港、内地企业国际化第一站；②政策升级：18C政策、上市流程简化；③战略价值：多元上市路径、全球品牌影响</w:t>
            </w:r>
          </w:p>
        </w:tc>
        <w:tc>
          <w:tcPr>
            <w:tcW w:w="1560" w:type="dxa"/>
            <w:vAlign w:val="center"/>
          </w:tcPr>
          <w:p w14:paraId="0D68EC63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中金公司</w:t>
            </w:r>
          </w:p>
        </w:tc>
      </w:tr>
      <w:tr w:rsidR="00181329" w:rsidRPr="00181329" w14:paraId="740605E3" w14:textId="77777777" w:rsidTr="00BF33A5">
        <w:tc>
          <w:tcPr>
            <w:tcW w:w="1980" w:type="dxa"/>
            <w:vAlign w:val="center"/>
          </w:tcPr>
          <w:p w14:paraId="1ECC524C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13:30-15:00</w:t>
            </w:r>
          </w:p>
        </w:tc>
        <w:tc>
          <w:tcPr>
            <w:tcW w:w="5386" w:type="dxa"/>
            <w:vAlign w:val="center"/>
          </w:tcPr>
          <w:p w14:paraId="1F7E0308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  <w:t>核心问题：企业从启动到挂牌，港股上市各阶段的关键节点与实操难点是什么？</w:t>
            </w:r>
          </w:p>
          <w:p w14:paraId="40470014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要点分解：①前期筹备：中介机构选聘、上市架构设计；②申报审核：监管问询重点、招股书披露要点；③发行上市：路演定价机制、挂牌后市值</w:t>
            </w: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lastRenderedPageBreak/>
              <w:t>管理</w:t>
            </w:r>
          </w:p>
          <w:p w14:paraId="7EDAE59D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案例验证：结合近期案例，分析企业港股IPO流程</w:t>
            </w:r>
          </w:p>
        </w:tc>
        <w:tc>
          <w:tcPr>
            <w:tcW w:w="1560" w:type="dxa"/>
            <w:vAlign w:val="center"/>
          </w:tcPr>
          <w:p w14:paraId="2EA7BCE2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lastRenderedPageBreak/>
              <w:t>中金公司</w:t>
            </w:r>
          </w:p>
        </w:tc>
      </w:tr>
      <w:tr w:rsidR="00181329" w:rsidRPr="00181329" w14:paraId="6ABD6F40" w14:textId="77777777" w:rsidTr="00BF33A5">
        <w:tc>
          <w:tcPr>
            <w:tcW w:w="1980" w:type="dxa"/>
            <w:vAlign w:val="center"/>
          </w:tcPr>
          <w:p w14:paraId="261CC2DD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15:00-16:45</w:t>
            </w:r>
          </w:p>
        </w:tc>
        <w:tc>
          <w:tcPr>
            <w:tcW w:w="5386" w:type="dxa"/>
            <w:vAlign w:val="center"/>
          </w:tcPr>
          <w:p w14:paraId="386C5341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  <w:t>核心问题：港股上市法律尽调的核心风险领域是什么？</w:t>
            </w:r>
          </w:p>
          <w:p w14:paraId="2EC2BC95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要点分解：①架构合规：红筹/VIE架构搭建与拆除、跨境监管衔接；②业务资质：行业准入许可、数据安全与隐私合规；③关联交易：同业竞争审查、内控制度有效性</w:t>
            </w:r>
          </w:p>
          <w:p w14:paraId="7FC95D0B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案例验证：结合近期案例，分析IPO企业法律合规情况</w:t>
            </w:r>
          </w:p>
        </w:tc>
        <w:tc>
          <w:tcPr>
            <w:tcW w:w="1560" w:type="dxa"/>
            <w:vAlign w:val="center"/>
          </w:tcPr>
          <w:p w14:paraId="6B0362AF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lang w:val="en-US"/>
                <w14:ligatures w14:val="none"/>
              </w:rPr>
              <w:t>律师</w:t>
            </w:r>
          </w:p>
          <w:p w14:paraId="7BEDBECB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lang w:val="en-US"/>
                <w14:ligatures w14:val="none"/>
              </w:rPr>
              <w:t>事务所</w:t>
            </w:r>
          </w:p>
        </w:tc>
      </w:tr>
      <w:tr w:rsidR="00181329" w:rsidRPr="00181329" w14:paraId="12653065" w14:textId="77777777" w:rsidTr="00BF33A5">
        <w:tc>
          <w:tcPr>
            <w:tcW w:w="1980" w:type="dxa"/>
            <w:vAlign w:val="center"/>
          </w:tcPr>
          <w:p w14:paraId="0061CDAF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16:45-17:00</w:t>
            </w:r>
          </w:p>
        </w:tc>
        <w:tc>
          <w:tcPr>
            <w:tcW w:w="5386" w:type="dxa"/>
            <w:vAlign w:val="center"/>
          </w:tcPr>
          <w:p w14:paraId="431C6779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介绍后续“构建-执行-复盘”闭门课如何解决上述模块提出的实操问题。</w:t>
            </w:r>
          </w:p>
        </w:tc>
        <w:tc>
          <w:tcPr>
            <w:tcW w:w="1560" w:type="dxa"/>
            <w:vAlign w:val="center"/>
          </w:tcPr>
          <w:p w14:paraId="33BA6FF1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</w:p>
        </w:tc>
      </w:tr>
      <w:tr w:rsidR="00181329" w:rsidRPr="00181329" w14:paraId="5C411931" w14:textId="77777777" w:rsidTr="00BF33A5">
        <w:tc>
          <w:tcPr>
            <w:tcW w:w="8926" w:type="dxa"/>
            <w:gridSpan w:val="3"/>
            <w:vAlign w:val="center"/>
          </w:tcPr>
          <w:p w14:paraId="4EFE3CE0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赴港上市实操与资源对接</w:t>
            </w:r>
          </w:p>
          <w:p w14:paraId="0A724155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（</w:t>
            </w:r>
            <w:r w:rsidRPr="00181329">
              <w:rPr>
                <w:rFonts w:ascii="FangSong_GB2312" w:eastAsia="FangSong_GB2312" w:hAnsi="FangSong_GB2312" w:cs="Times New Roman"/>
                <w:sz w:val="32"/>
                <w:szCs w:val="32"/>
                <w:lang w:val="en-US"/>
                <w14:ligatures w14:val="none"/>
              </w:rPr>
              <w:t>2026</w:t>
            </w: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年</w:t>
            </w:r>
            <w:r w:rsidRPr="00181329">
              <w:rPr>
                <w:rFonts w:ascii="FangSong_GB2312" w:eastAsia="FangSong_GB2312" w:hAnsi="FangSong_GB2312" w:cs="Times New Roman"/>
                <w:sz w:val="32"/>
                <w:szCs w:val="32"/>
                <w:lang w:val="en-US"/>
                <w14:ligatures w14:val="none"/>
              </w:rPr>
              <w:t>5</w:t>
            </w: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月</w:t>
            </w:r>
            <w:r w:rsidRPr="00181329">
              <w:rPr>
                <w:rFonts w:ascii="FangSong_GB2312" w:eastAsia="FangSong_GB2312" w:hAnsi="FangSong_GB2312" w:cs="Times New Roman"/>
                <w:sz w:val="32"/>
                <w:szCs w:val="32"/>
                <w:lang w:val="en-US"/>
                <w14:ligatures w14:val="none"/>
              </w:rPr>
              <w:t>23</w:t>
            </w: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日）</w:t>
            </w:r>
          </w:p>
        </w:tc>
      </w:tr>
      <w:tr w:rsidR="00181329" w:rsidRPr="00181329" w14:paraId="15F4BF4C" w14:textId="77777777" w:rsidTr="00BF33A5">
        <w:tc>
          <w:tcPr>
            <w:tcW w:w="1980" w:type="dxa"/>
            <w:vAlign w:val="center"/>
          </w:tcPr>
          <w:p w14:paraId="4870594C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时段</w:t>
            </w:r>
          </w:p>
        </w:tc>
        <w:tc>
          <w:tcPr>
            <w:tcW w:w="5386" w:type="dxa"/>
            <w:vAlign w:val="center"/>
          </w:tcPr>
          <w:p w14:paraId="191E930D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内容要点</w:t>
            </w:r>
          </w:p>
        </w:tc>
        <w:tc>
          <w:tcPr>
            <w:tcW w:w="1560" w:type="dxa"/>
            <w:vAlign w:val="center"/>
          </w:tcPr>
          <w:p w14:paraId="44FC166A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参与方</w:t>
            </w:r>
          </w:p>
        </w:tc>
      </w:tr>
      <w:tr w:rsidR="00181329" w:rsidRPr="00181329" w14:paraId="7C44E8E9" w14:textId="77777777" w:rsidTr="00BF33A5">
        <w:tc>
          <w:tcPr>
            <w:tcW w:w="1980" w:type="dxa"/>
            <w:vAlign w:val="center"/>
          </w:tcPr>
          <w:p w14:paraId="695B7177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9:30-10:30</w:t>
            </w:r>
          </w:p>
        </w:tc>
        <w:tc>
          <w:tcPr>
            <w:tcW w:w="5386" w:type="dxa"/>
            <w:vAlign w:val="center"/>
          </w:tcPr>
          <w:p w14:paraId="741CDE89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  <w:t>核心问题：联交所及证监会对拟上市企业的审核重点与红线是什么？</w:t>
            </w:r>
          </w:p>
          <w:p w14:paraId="129214B9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要点分解：①控制权稳定性：实际控制人认定争议、股权代持未清理；②业务合规：商业模式是否符合监管要求；③重大依赖风险：单一客户/供</w:t>
            </w: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lastRenderedPageBreak/>
              <w:t>应商依赖超50%、关联交易非市场化</w:t>
            </w:r>
          </w:p>
          <w:p w14:paraId="0931C6DD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案例验证：结合近期案例，分析IPO企业审核问询情况</w:t>
            </w:r>
          </w:p>
        </w:tc>
        <w:tc>
          <w:tcPr>
            <w:tcW w:w="1560" w:type="dxa"/>
            <w:vAlign w:val="center"/>
          </w:tcPr>
          <w:p w14:paraId="55A6D4F7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lastRenderedPageBreak/>
              <w:t>中金公司</w:t>
            </w:r>
          </w:p>
        </w:tc>
      </w:tr>
      <w:tr w:rsidR="00181329" w:rsidRPr="00181329" w14:paraId="6FEB8ED8" w14:textId="77777777" w:rsidTr="00BF33A5">
        <w:tc>
          <w:tcPr>
            <w:tcW w:w="1980" w:type="dxa"/>
            <w:vAlign w:val="center"/>
          </w:tcPr>
          <w:p w14:paraId="7AA82309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10:30-12:00</w:t>
            </w:r>
          </w:p>
        </w:tc>
        <w:tc>
          <w:tcPr>
            <w:tcW w:w="5386" w:type="dxa"/>
            <w:vAlign w:val="center"/>
          </w:tcPr>
          <w:p w14:paraId="1F54FBCB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  <w:t>核心问题：如何设计发行方案以实现定价合理、超额认购与后市稳定？</w:t>
            </w:r>
          </w:p>
          <w:p w14:paraId="1A4C6766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要点分解：①基石配置：知名机构引入、禁售期与订单锚定；②定价策略：簿记建档节奏、发行价与估值平衡点；③绿鞋机制：超额配售权行使、后市稳定操作路径</w:t>
            </w:r>
          </w:p>
          <w:p w14:paraId="002786EE" w14:textId="77777777" w:rsidR="00181329" w:rsidRPr="00181329" w:rsidRDefault="00181329" w:rsidP="00181329">
            <w:pPr>
              <w:widowControl w:val="0"/>
              <w:spacing w:line="580" w:lineRule="exact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案例验证：结合近期案例，分析IPO企业发行情况</w:t>
            </w:r>
          </w:p>
        </w:tc>
        <w:tc>
          <w:tcPr>
            <w:tcW w:w="1560" w:type="dxa"/>
            <w:vAlign w:val="center"/>
          </w:tcPr>
          <w:p w14:paraId="077007E5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中金公司</w:t>
            </w:r>
          </w:p>
        </w:tc>
      </w:tr>
      <w:tr w:rsidR="00181329" w:rsidRPr="00181329" w14:paraId="00DB5E2E" w14:textId="77777777" w:rsidTr="00BF33A5">
        <w:tc>
          <w:tcPr>
            <w:tcW w:w="1980" w:type="dxa"/>
            <w:vAlign w:val="center"/>
          </w:tcPr>
          <w:p w14:paraId="3AD3D498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13:30-15:30</w:t>
            </w:r>
          </w:p>
        </w:tc>
        <w:tc>
          <w:tcPr>
            <w:tcW w:w="5386" w:type="dxa"/>
            <w:vAlign w:val="center"/>
          </w:tcPr>
          <w:p w14:paraId="6B8F9791" w14:textId="77777777" w:rsidR="00181329" w:rsidRPr="00181329" w:rsidRDefault="00181329" w:rsidP="00181329">
            <w:pPr>
              <w:widowControl w:val="0"/>
              <w:spacing w:line="580" w:lineRule="exact"/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  <w:t>核心问题：财务尽调的核心风险领域与审计调整重点是什么？</w:t>
            </w:r>
          </w:p>
          <w:p w14:paraId="7EB69965" w14:textId="77777777" w:rsidR="00181329" w:rsidRPr="00181329" w:rsidRDefault="00181329" w:rsidP="00181329">
            <w:pPr>
              <w:widowControl w:val="0"/>
              <w:spacing w:line="580" w:lineRule="exact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要点分解：①收入确认：客户合同条款分析、收入截止性测试及退换货核查；②股份支付：期权公允价值评估、等待期分摊及披露合规性；③特殊事项：研发开支资本化、商誉减值测试及关联方交易定价</w:t>
            </w:r>
          </w:p>
          <w:p w14:paraId="3E27C47B" w14:textId="77777777" w:rsidR="00181329" w:rsidRPr="00181329" w:rsidRDefault="00181329" w:rsidP="00181329">
            <w:pPr>
              <w:widowControl w:val="0"/>
              <w:spacing w:line="580" w:lineRule="exact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案例验证：结合近期案例，分析IPO企业财务问题</w:t>
            </w:r>
          </w:p>
        </w:tc>
        <w:tc>
          <w:tcPr>
            <w:tcW w:w="1560" w:type="dxa"/>
            <w:vAlign w:val="center"/>
          </w:tcPr>
          <w:p w14:paraId="16A98837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会计师事务所</w:t>
            </w:r>
          </w:p>
        </w:tc>
      </w:tr>
      <w:tr w:rsidR="00181329" w:rsidRPr="00181329" w14:paraId="75BA5DA0" w14:textId="77777777" w:rsidTr="00BF33A5">
        <w:tc>
          <w:tcPr>
            <w:tcW w:w="1980" w:type="dxa"/>
            <w:vAlign w:val="center"/>
          </w:tcPr>
          <w:p w14:paraId="7AB8C706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15:30-16:30</w:t>
            </w:r>
          </w:p>
        </w:tc>
        <w:tc>
          <w:tcPr>
            <w:tcW w:w="5386" w:type="dxa"/>
            <w:vAlign w:val="center"/>
          </w:tcPr>
          <w:p w14:paraId="1DB839DA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  <w:t>核心问题：出海企业如何系统识别、</w:t>
            </w:r>
            <w:r w:rsidRPr="00181329">
              <w:rPr>
                <w:rFonts w:ascii="FangSong_GB2312" w:eastAsia="FangSong_GB2312" w:hAnsi="FangSong_GB2312" w:cs="Arial"/>
                <w:b/>
                <w:bCs/>
                <w:sz w:val="32"/>
                <w:szCs w:val="32"/>
                <w:lang w:val="en-US"/>
                <w14:ligatures w14:val="none"/>
              </w:rPr>
              <w:lastRenderedPageBreak/>
              <w:t>量化与对冲跨境经营中的汇率波动风险？</w:t>
            </w:r>
          </w:p>
          <w:p w14:paraId="3F902B33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要点分解：①风险识别：交易风险、折算风险、经济风险；②对冲工具：远期结售汇、期权组合、自然对冲；③管理机制：风险中性原则、套保策略备案、衍生品交易授权与监控</w:t>
            </w:r>
          </w:p>
          <w:p w14:paraId="18D6168D" w14:textId="77777777" w:rsidR="00181329" w:rsidRPr="00181329" w:rsidRDefault="00181329" w:rsidP="00181329">
            <w:pPr>
              <w:widowControl w:val="0"/>
              <w:spacing w:line="580" w:lineRule="exact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t>案例验证：结合近期案例，分析IPO企业汇率问题</w:t>
            </w:r>
          </w:p>
        </w:tc>
        <w:tc>
          <w:tcPr>
            <w:tcW w:w="1560" w:type="dxa"/>
            <w:vAlign w:val="center"/>
          </w:tcPr>
          <w:p w14:paraId="682BDC96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  <w:lastRenderedPageBreak/>
              <w:t>中金公司</w:t>
            </w:r>
          </w:p>
        </w:tc>
      </w:tr>
      <w:tr w:rsidR="00181329" w:rsidRPr="00181329" w14:paraId="68546242" w14:textId="77777777" w:rsidTr="00BF33A5">
        <w:tc>
          <w:tcPr>
            <w:tcW w:w="1980" w:type="dxa"/>
            <w:vAlign w:val="center"/>
          </w:tcPr>
          <w:p w14:paraId="09A6BBFD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Times New Roman" w:eastAsia="FangSong_GB2312" w:hAnsi="Times New Roman" w:cs="Times New Roman"/>
                <w:sz w:val="32"/>
                <w:szCs w:val="32"/>
                <w:lang w:val="en-US"/>
                <w14:ligatures w14:val="none"/>
              </w:rPr>
              <w:t>16:30-17:30</w:t>
            </w:r>
          </w:p>
        </w:tc>
        <w:tc>
          <w:tcPr>
            <w:tcW w:w="5386" w:type="dxa"/>
            <w:vAlign w:val="center"/>
          </w:tcPr>
          <w:p w14:paraId="5C868BEF" w14:textId="77777777" w:rsidR="00181329" w:rsidRPr="00181329" w:rsidRDefault="00181329" w:rsidP="00181329">
            <w:pPr>
              <w:widowControl w:val="0"/>
              <w:spacing w:line="580" w:lineRule="exact"/>
              <w:jc w:val="both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color w:val="333333"/>
                <w:sz w:val="32"/>
                <w:szCs w:val="32"/>
                <w:lang w:val="en-US"/>
                <w14:ligatures w14:val="none"/>
              </w:rPr>
              <w:t>参会企业交流诊断</w:t>
            </w:r>
          </w:p>
        </w:tc>
        <w:tc>
          <w:tcPr>
            <w:tcW w:w="1560" w:type="dxa"/>
            <w:vAlign w:val="center"/>
          </w:tcPr>
          <w:p w14:paraId="30B3446A" w14:textId="77777777" w:rsidR="00181329" w:rsidRPr="00181329" w:rsidRDefault="00181329" w:rsidP="00181329">
            <w:pPr>
              <w:widowControl w:val="0"/>
              <w:spacing w:line="580" w:lineRule="exact"/>
              <w:jc w:val="center"/>
              <w:rPr>
                <w:rFonts w:ascii="FangSong_GB2312" w:eastAsia="FangSong_GB2312" w:hAnsi="FangSong_GB2312" w:cs="Arial"/>
                <w:sz w:val="32"/>
                <w:szCs w:val="32"/>
                <w:lang w:val="en-US"/>
                <w14:ligatures w14:val="none"/>
              </w:rPr>
            </w:pPr>
            <w:r w:rsidRPr="00181329">
              <w:rPr>
                <w:rFonts w:ascii="FangSong_GB2312" w:eastAsia="FangSong_GB2312" w:hAnsi="FangSong_GB2312" w:cs="Arial"/>
                <w:color w:val="333333"/>
                <w:sz w:val="32"/>
                <w:szCs w:val="32"/>
                <w:lang w:val="en-US"/>
                <w14:ligatures w14:val="none"/>
              </w:rPr>
              <w:t>中金公司、律师、会计师</w:t>
            </w:r>
          </w:p>
        </w:tc>
      </w:tr>
    </w:tbl>
    <w:p w14:paraId="084A7052" w14:textId="7BC1169C" w:rsidR="00181329" w:rsidRPr="00181329" w:rsidRDefault="00181329" w:rsidP="00181329">
      <w:pPr>
        <w:widowControl w:val="0"/>
        <w:spacing w:after="0" w:line="580" w:lineRule="exact"/>
        <w:jc w:val="both"/>
        <w:rPr>
          <w:rFonts w:ascii="FangSong_GB2312" w:eastAsia="FangSong_GB2312" w:hAnsi="FangSong_GB2312" w:cs="Arial" w:hint="eastAsia"/>
          <w:sz w:val="32"/>
          <w:szCs w:val="32"/>
          <w:lang w:val="en-US"/>
          <w14:ligatures w14:val="none"/>
        </w:rPr>
        <w:sectPr w:rsidR="00181329" w:rsidRPr="00181329" w:rsidSect="00181329">
          <w:footerReference w:type="default" r:id="rId4"/>
          <w:footerReference w:type="first" r:id="rId5"/>
          <w:pgSz w:w="11910" w:h="16840"/>
          <w:pgMar w:top="1440" w:right="1440" w:bottom="1440" w:left="1440" w:header="720" w:footer="720" w:gutter="0"/>
          <w:cols w:space="720"/>
          <w:titlePg/>
          <w:docGrid w:linePitch="286"/>
        </w:sectPr>
      </w:pPr>
      <w:r w:rsidRPr="00181329">
        <w:rPr>
          <w:rFonts w:ascii="FangSong_GB2312" w:eastAsia="FangSong_GB2312" w:hAnsi="FangSong_GB2312" w:cs="Arial"/>
          <w:sz w:val="32"/>
          <w:szCs w:val="32"/>
          <w:lang w:val="en-US"/>
          <w14:ligatures w14:val="none"/>
        </w:rPr>
        <w:t>注：议程安排以实际发生为准</w:t>
      </w:r>
      <w:r>
        <w:rPr>
          <w:rFonts w:ascii="FangSong_GB2312" w:eastAsia="FangSong_GB2312" w:hAnsi="FangSong_GB2312" w:cs="Arial" w:hint="eastAsia"/>
          <w:sz w:val="32"/>
          <w:szCs w:val="32"/>
          <w:lang w:val="en-US"/>
          <w14:ligatures w14:val="none"/>
        </w:rPr>
        <w:t>。</w:t>
      </w:r>
    </w:p>
    <w:p w14:paraId="2D3635A0" w14:textId="77777777" w:rsidR="00C36CC6" w:rsidRPr="00181329" w:rsidRDefault="00C36CC6">
      <w:pPr>
        <w:rPr>
          <w:lang w:val="en-US"/>
        </w:rPr>
      </w:pPr>
    </w:p>
    <w:sectPr w:rsidR="00C36CC6" w:rsidRPr="0018132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_GB2312">
    <w:altName w:val="仿宋_GB2312"/>
    <w:panose1 w:val="02010609060101010101"/>
    <w:charset w:val="86"/>
    <w:family w:val="modern"/>
    <w:pitch w:val="fixed"/>
    <w:sig w:usb0="00000003" w:usb1="080E0000" w:usb2="00000010" w:usb3="00000000" w:csb0="00040001" w:csb1="00000000"/>
  </w:font>
  <w:font w:name="FZXiaoBiaoSong-B05S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3B44F" w14:textId="77777777" w:rsidR="00181329" w:rsidRPr="00181329" w:rsidRDefault="00181329">
    <w:pPr>
      <w:pStyle w:val="Footer"/>
      <w:rPr>
        <w:rFonts w:ascii="Times New Roman" w:hAnsi="Times New Roman" w:cs="Times New Roman"/>
        <w:sz w:val="20"/>
        <w:szCs w:val="28"/>
      </w:rPr>
    </w:pPr>
  </w:p>
  <w:p w14:paraId="30E90F38" w14:textId="77777777" w:rsidR="00181329" w:rsidRPr="00181329" w:rsidRDefault="00181329">
    <w:pPr>
      <w:pStyle w:val="Footer"/>
      <w:rPr>
        <w:rFonts w:ascii="Times New Roman" w:hAnsi="Times New Roman" w:cs="Times New Roman"/>
        <w:caps/>
        <w:color w:val="4F81BD"/>
        <w:sz w:val="20"/>
        <w:szCs w:val="2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E30FD" w14:textId="77777777" w:rsidR="00181329" w:rsidRDefault="00181329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rQ0NLS0NDI2MrEwMDZV0lEKTi0uzszPAykwrAUA9rFxKiwAAAA="/>
  </w:docVars>
  <w:rsids>
    <w:rsidRoot w:val="00181329"/>
    <w:rsid w:val="00181329"/>
    <w:rsid w:val="00210CE0"/>
    <w:rsid w:val="00334B37"/>
    <w:rsid w:val="00433C9E"/>
    <w:rsid w:val="00877E42"/>
    <w:rsid w:val="00C36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2A140"/>
  <w15:chartTrackingRefBased/>
  <w15:docId w15:val="{9C548A93-83C7-4077-B819-BE1F10DAA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813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813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813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813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813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813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813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813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813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813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813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813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8132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8132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8132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8132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8132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813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813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813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813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813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813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813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813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8132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813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8132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81329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semiHidden/>
    <w:unhideWhenUsed/>
    <w:rsid w:val="001813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81329"/>
  </w:style>
  <w:style w:type="table" w:customStyle="1" w:styleId="TableGrid1">
    <w:name w:val="Table Grid1"/>
    <w:basedOn w:val="TableNormal"/>
    <w:next w:val="TableGrid"/>
    <w:uiPriority w:val="39"/>
    <w:qFormat/>
    <w:rsid w:val="001813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1813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600</Words>
  <Characters>672</Characters>
  <Application>Microsoft Office Word</Application>
  <DocSecurity>0</DocSecurity>
  <Lines>67</Lines>
  <Paragraphs>60</Paragraphs>
  <ScaleCrop>false</ScaleCrop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Zeming Wang</dc:creator>
  <cp:keywords/>
  <dc:description/>
  <cp:lastModifiedBy>Zeming Wang</cp:lastModifiedBy>
  <cp:revision>1</cp:revision>
  <dcterms:created xsi:type="dcterms:W3CDTF">2026-04-29T04:53:00Z</dcterms:created>
  <dcterms:modified xsi:type="dcterms:W3CDTF">2026-04-29T04:54:00Z</dcterms:modified>
</cp:coreProperties>
</file>