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173F80" w14:textId="77777777" w:rsidR="00B85FFA" w:rsidRDefault="00000000">
      <w:pPr>
        <w:spacing w:line="580" w:lineRule="exact"/>
        <w:rPr>
          <w:rFonts w:ascii="黑体" w:eastAsia="黑体" w:hAnsi="黑体" w:cs="黑体"/>
          <w:sz w:val="32"/>
          <w:szCs w:val="32"/>
        </w:rPr>
      </w:pPr>
      <w:r>
        <w:rPr>
          <w:rFonts w:ascii="黑体" w:eastAsia="黑体" w:hAnsi="黑体" w:cs="黑体" w:hint="eastAsia"/>
          <w:sz w:val="32"/>
          <w:szCs w:val="32"/>
        </w:rPr>
        <w:t>附件1</w:t>
      </w:r>
    </w:p>
    <w:p w14:paraId="0F7193AE" w14:textId="77777777" w:rsidR="00B85FFA" w:rsidRDefault="00000000">
      <w:pPr>
        <w:spacing w:line="58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工业和信息化部中小企业发展促进中心</w:t>
      </w:r>
    </w:p>
    <w:p w14:paraId="1C33D7EE" w14:textId="77777777" w:rsidR="00B85FFA" w:rsidRDefault="00000000">
      <w:pPr>
        <w:spacing w:line="58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产融合作创新实验室重点应用场景</w:t>
      </w:r>
    </w:p>
    <w:p w14:paraId="76BCC0A8" w14:textId="77777777" w:rsidR="00B85FFA" w:rsidRDefault="00B85FFA">
      <w:pPr>
        <w:spacing w:line="580" w:lineRule="exact"/>
        <w:jc w:val="center"/>
        <w:rPr>
          <w:rFonts w:ascii="方正小标宋简体" w:eastAsia="方正小标宋简体" w:hAnsi="方正小标宋简体" w:cs="方正小标宋简体"/>
          <w:sz w:val="44"/>
          <w:szCs w:val="44"/>
        </w:rPr>
      </w:pPr>
    </w:p>
    <w:p w14:paraId="48ED27A7" w14:textId="77777777" w:rsidR="00B85FFA" w:rsidRDefault="00000000">
      <w:pPr>
        <w:numPr>
          <w:ilvl w:val="0"/>
          <w:numId w:val="1"/>
        </w:numPr>
        <w:spacing w:line="580" w:lineRule="exact"/>
        <w:ind w:firstLine="640"/>
        <w:rPr>
          <w:rFonts w:ascii="黑体" w:eastAsia="黑体" w:hAnsi="黑体" w:cs="黑体"/>
          <w:color w:val="1C1F23"/>
          <w:sz w:val="32"/>
          <w:szCs w:val="32"/>
          <w:shd w:val="clear" w:color="auto" w:fill="FFFFFF"/>
        </w:rPr>
      </w:pPr>
      <w:r>
        <w:rPr>
          <w:rFonts w:ascii="黑体" w:eastAsia="黑体" w:hAnsi="黑体" w:cs="黑体" w:hint="eastAsia"/>
          <w:color w:val="1C1F23"/>
          <w:sz w:val="32"/>
          <w:szCs w:val="32"/>
          <w:shd w:val="clear" w:color="auto" w:fill="FFFFFF"/>
        </w:rPr>
        <w:t>重点产业链研发攻关场景</w:t>
      </w:r>
    </w:p>
    <w:p w14:paraId="42204840" w14:textId="77777777" w:rsidR="00B85FFA" w:rsidRDefault="00000000">
      <w:pPr>
        <w:ind w:firstLineChars="200" w:firstLine="640"/>
        <w:rPr>
          <w:rFonts w:ascii="仿宋_GB2312" w:eastAsia="仿宋_GB2312" w:hAnsi="仿宋_GB2312" w:cs="仿宋_GB2312"/>
          <w:color w:val="1C1F23"/>
          <w:sz w:val="32"/>
          <w:szCs w:val="32"/>
          <w:shd w:val="clear" w:color="auto" w:fill="FFFFFF"/>
        </w:rPr>
      </w:pPr>
      <w:r>
        <w:rPr>
          <w:rFonts w:ascii="仿宋_GB2312" w:eastAsia="仿宋_GB2312" w:hAnsi="仿宋_GB2312" w:cs="仿宋_GB2312" w:hint="eastAsia"/>
          <w:color w:val="1C1F23"/>
          <w:sz w:val="32"/>
          <w:szCs w:val="32"/>
          <w:shd w:val="clear" w:color="auto" w:fill="FFFFFF"/>
        </w:rPr>
        <w:t>聚焦集成电路、工业母机、高端仪器、基础软件、先进材料、生物制造等制造业重点产业链，针对关键技术产品攻关、产业基础再造工程及重大技术装备攻关项目，推动“信贷+债券+股权+保险”多元化融资方案试点应用。迭代优化重点产业链专属项目贷、流动资金贷、认股权贷款等金融产品，探索完善突破关键核心技术的科技企业上市融资、并购重组、债券发行“绿色通道”多部门联动协调机制，研究落地首台（套）重大技术装备、首批次新材料、首版次软件应用项目创新保险保障机制，以及以集成电路生产设备、工业母机为代表的重大装备科技保险。结合企业创新积分、突破性科技成果强链补链作用等非财务指标构建企业科创信用画像，因地制宜完善产融支持政策直达快享模式。</w:t>
      </w:r>
    </w:p>
    <w:p w14:paraId="6A62ECBB" w14:textId="77777777" w:rsidR="00B85FFA" w:rsidRDefault="00000000">
      <w:pPr>
        <w:numPr>
          <w:ilvl w:val="0"/>
          <w:numId w:val="1"/>
        </w:numPr>
        <w:spacing w:line="580" w:lineRule="exact"/>
        <w:ind w:firstLine="640"/>
        <w:rPr>
          <w:rFonts w:ascii="黑体" w:eastAsia="黑体" w:hAnsi="黑体" w:cs="黑体"/>
          <w:color w:val="1C1F23"/>
          <w:sz w:val="32"/>
          <w:szCs w:val="32"/>
          <w:shd w:val="clear" w:color="auto" w:fill="FFFFFF"/>
        </w:rPr>
      </w:pPr>
      <w:r>
        <w:rPr>
          <w:rFonts w:ascii="黑体" w:eastAsia="黑体" w:hAnsi="黑体" w:cs="黑体" w:hint="eastAsia"/>
          <w:color w:val="1C1F23"/>
          <w:sz w:val="32"/>
          <w:szCs w:val="32"/>
          <w:shd w:val="clear" w:color="auto" w:fill="FFFFFF"/>
        </w:rPr>
        <w:t>数字化转型场景</w:t>
      </w:r>
    </w:p>
    <w:p w14:paraId="7D0EBBEE" w14:textId="77777777" w:rsidR="00B85FFA" w:rsidRDefault="00000000">
      <w:pPr>
        <w:ind w:firstLineChars="200" w:firstLine="640"/>
        <w:rPr>
          <w:rFonts w:ascii="仿宋_GB2312" w:eastAsia="仿宋_GB2312" w:hAnsi="仿宋_GB2312" w:cs="仿宋_GB2312"/>
          <w:color w:val="1C1F23"/>
          <w:sz w:val="32"/>
          <w:szCs w:val="32"/>
          <w:shd w:val="clear" w:color="auto" w:fill="FFFFFF"/>
        </w:rPr>
      </w:pPr>
      <w:r>
        <w:rPr>
          <w:rFonts w:ascii="仿宋_GB2312" w:eastAsia="仿宋_GB2312" w:hAnsi="仿宋_GB2312" w:cs="仿宋_GB2312" w:hint="eastAsia"/>
          <w:color w:val="1C1F23"/>
          <w:sz w:val="32"/>
          <w:szCs w:val="32"/>
          <w:shd w:val="clear" w:color="auto" w:fill="FFFFFF"/>
        </w:rPr>
        <w:t>围绕传统制造业高端化、智能化转型需求，支持企业智能工厂、数字车间、数字产线、智造单元建设，联合数字化服务商和金融机构提供“技术诊断+金融支持+资源对接”综合解决方案，迭代优化“智改数转”固定资产贷款、项目贷</w:t>
      </w:r>
      <w:r>
        <w:rPr>
          <w:rFonts w:ascii="仿宋_GB2312" w:eastAsia="仿宋_GB2312" w:hAnsi="仿宋_GB2312" w:cs="仿宋_GB2312" w:hint="eastAsia"/>
          <w:color w:val="1C1F23"/>
          <w:sz w:val="32"/>
          <w:szCs w:val="32"/>
          <w:shd w:val="clear" w:color="auto" w:fill="FFFFFF"/>
        </w:rPr>
        <w:lastRenderedPageBreak/>
        <w:t>款、流动资金贷款和设备更新贷等金融产品，创新订单驱动的链群集合贷及集合债，</w:t>
      </w:r>
      <w:r>
        <w:rPr>
          <w:rFonts w:ascii="仿宋_GB2312" w:eastAsia="仿宋_GB2312" w:hint="eastAsia"/>
          <w:sz w:val="32"/>
          <w:szCs w:val="32"/>
        </w:rPr>
        <w:t>缓解企业智改数转资金困难，</w:t>
      </w:r>
      <w:r>
        <w:rPr>
          <w:rFonts w:ascii="仿宋_GB2312" w:eastAsia="仿宋_GB2312" w:hAnsi="仿宋_GB2312" w:cs="仿宋_GB2312" w:hint="eastAsia"/>
          <w:color w:val="1C1F23"/>
          <w:sz w:val="32"/>
          <w:szCs w:val="32"/>
          <w:shd w:val="clear" w:color="auto" w:fill="FFFFFF"/>
        </w:rPr>
        <w:t>建立惠企政策直达快享机制，提高企业融资可得性，降低企业融资成本，推动数字经济与实体经济深度融合。</w:t>
      </w:r>
    </w:p>
    <w:p w14:paraId="155401CE" w14:textId="77777777" w:rsidR="00B85FFA" w:rsidRDefault="00000000">
      <w:pPr>
        <w:numPr>
          <w:ilvl w:val="0"/>
          <w:numId w:val="1"/>
        </w:numPr>
        <w:spacing w:line="580" w:lineRule="exact"/>
        <w:ind w:firstLine="640"/>
        <w:rPr>
          <w:rFonts w:ascii="黑体" w:eastAsia="黑体" w:hAnsi="黑体" w:cs="黑体"/>
          <w:color w:val="1C1F23"/>
          <w:sz w:val="32"/>
          <w:szCs w:val="32"/>
          <w:shd w:val="clear" w:color="auto" w:fill="FFFFFF"/>
        </w:rPr>
      </w:pPr>
      <w:r>
        <w:rPr>
          <w:rFonts w:ascii="黑体" w:eastAsia="黑体" w:hAnsi="黑体" w:cs="黑体" w:hint="eastAsia"/>
          <w:color w:val="1C1F23"/>
          <w:sz w:val="32"/>
          <w:szCs w:val="32"/>
          <w:shd w:val="clear" w:color="auto" w:fill="FFFFFF"/>
        </w:rPr>
        <w:t>人工智能深度应用场景</w:t>
      </w:r>
    </w:p>
    <w:p w14:paraId="65DA557F" w14:textId="77777777" w:rsidR="00B85FFA" w:rsidRDefault="00000000">
      <w:pPr>
        <w:widowControl/>
        <w:ind w:firstLineChars="200" w:firstLine="640"/>
        <w:jc w:val="left"/>
        <w:rPr>
          <w:rFonts w:ascii="仿宋_GB2312" w:eastAsia="仿宋_GB2312"/>
          <w:sz w:val="32"/>
          <w:szCs w:val="32"/>
        </w:rPr>
      </w:pPr>
      <w:r>
        <w:rPr>
          <w:rFonts w:ascii="仿宋_GB2312" w:eastAsia="仿宋_GB2312" w:hint="eastAsia"/>
          <w:sz w:val="32"/>
          <w:szCs w:val="32"/>
          <w:lang w:bidi="ar"/>
        </w:rPr>
        <w:t>推动企业利用</w:t>
      </w:r>
      <w:r>
        <w:rPr>
          <w:rFonts w:ascii="仿宋_GB2312" w:eastAsia="仿宋_GB2312" w:hint="eastAsia"/>
          <w:sz w:val="32"/>
          <w:szCs w:val="32"/>
        </w:rPr>
        <w:t>人工智能技术和</w:t>
      </w:r>
      <w:r>
        <w:rPr>
          <w:rFonts w:ascii="仿宋_GB2312" w:eastAsia="仿宋_GB2312" w:hint="eastAsia"/>
          <w:sz w:val="32"/>
          <w:szCs w:val="32"/>
          <w:lang w:bidi="ar"/>
        </w:rPr>
        <w:t>行业垂类大模型进行智能化改造，依托产业链、供应链协同数据开发专属金融产品，形成 “技术赋能 - 数据沉淀 - 融资支持” 闭环，同时助力企业智改升级和融资增信。</w:t>
      </w:r>
      <w:r>
        <w:rPr>
          <w:rFonts w:ascii="仿宋_GB2312" w:eastAsia="仿宋_GB2312" w:hint="eastAsia"/>
          <w:sz w:val="32"/>
          <w:szCs w:val="32"/>
        </w:rPr>
        <w:t>设计“人工智能+智能制造”“人工智能+生物医药”“人工智能+第六代移动通信”等专项融资产品，支持</w:t>
      </w:r>
      <w:r>
        <w:rPr>
          <w:rFonts w:ascii="仿宋_GB2312" w:eastAsia="仿宋_GB2312" w:hAnsi="仿宋_GB2312" w:cs="仿宋_GB2312" w:hint="eastAsia"/>
          <w:color w:val="1C1F23"/>
          <w:sz w:val="32"/>
          <w:szCs w:val="32"/>
          <w:shd w:val="clear" w:color="auto" w:fill="FFFFFF"/>
        </w:rPr>
        <w:t>5G、工业互联网、算力中心、算力枢纽能源配套设施等人工智能基础设施建设，</w:t>
      </w:r>
      <w:r>
        <w:rPr>
          <w:rFonts w:ascii="仿宋_GB2312" w:eastAsia="仿宋_GB2312" w:hint="eastAsia"/>
          <w:sz w:val="32"/>
          <w:szCs w:val="32"/>
        </w:rPr>
        <w:t>助力人工智能技术快速渗透新型工业化生产、管理、服务全链条。</w:t>
      </w:r>
    </w:p>
    <w:p w14:paraId="31B66D88" w14:textId="77777777" w:rsidR="00B85FFA" w:rsidRDefault="00000000">
      <w:pPr>
        <w:numPr>
          <w:ilvl w:val="0"/>
          <w:numId w:val="1"/>
        </w:numPr>
        <w:spacing w:line="580" w:lineRule="exact"/>
        <w:ind w:firstLine="640"/>
        <w:rPr>
          <w:rFonts w:ascii="黑体" w:eastAsia="黑体" w:hAnsi="黑体" w:cs="黑体"/>
          <w:color w:val="1C1F23"/>
          <w:sz w:val="32"/>
          <w:szCs w:val="32"/>
          <w:shd w:val="clear" w:color="auto" w:fill="FFFFFF"/>
        </w:rPr>
      </w:pPr>
      <w:r>
        <w:rPr>
          <w:rFonts w:ascii="黑体" w:eastAsia="黑体" w:hAnsi="黑体" w:cs="黑体" w:hint="eastAsia"/>
          <w:color w:val="1C1F23"/>
          <w:sz w:val="32"/>
          <w:szCs w:val="32"/>
          <w:shd w:val="clear" w:color="auto" w:fill="FFFFFF"/>
        </w:rPr>
        <w:t>绿色工厂建设与产业低碳转型场景</w:t>
      </w:r>
    </w:p>
    <w:p w14:paraId="46374585" w14:textId="77777777" w:rsidR="00B85FFA" w:rsidRDefault="00000000">
      <w:pPr>
        <w:ind w:firstLineChars="200" w:firstLine="640"/>
        <w:rPr>
          <w:rFonts w:ascii="仿宋_GB2312" w:eastAsia="仿宋_GB2312" w:hAnsi="仿宋_GB2312" w:cs="仿宋_GB2312"/>
          <w:color w:val="1C1F23"/>
          <w:sz w:val="32"/>
          <w:szCs w:val="32"/>
          <w:shd w:val="clear" w:color="auto" w:fill="FFFFFF"/>
        </w:rPr>
      </w:pPr>
      <w:r>
        <w:rPr>
          <w:rFonts w:ascii="仿宋_GB2312" w:eastAsia="仿宋_GB2312" w:hAnsi="仿宋_GB2312" w:cs="仿宋_GB2312" w:hint="eastAsia"/>
          <w:color w:val="1C1F23"/>
          <w:sz w:val="32"/>
          <w:szCs w:val="32"/>
          <w:shd w:val="clear" w:color="auto" w:fill="FFFFFF"/>
        </w:rPr>
        <w:t>围绕绿色制造体系，推动绿色信贷、绿色债券等多元化绿色金融工具在企业绿色低碳转型中的应用，推动“绿色能源贷”“技改贷”“碳融贷”等绿色工业园区、绿色工厂、绿色供应链系列专属金融产品加快迭代创新。推动碳排放权质押贷款、排污权抵质押贷款、取水权质押贷款等金融产品推广应用，破解企业绿色转型抵押物不足难题。推动金融机构加大对高碳行业符合绿色低碳技术改进方向及产能置换项目和企业支持力度，助力产业绿色低碳循环发展。</w:t>
      </w:r>
    </w:p>
    <w:p w14:paraId="4678990B" w14:textId="77777777" w:rsidR="00B85FFA" w:rsidRDefault="00000000">
      <w:pPr>
        <w:numPr>
          <w:ilvl w:val="0"/>
          <w:numId w:val="1"/>
        </w:numPr>
        <w:spacing w:line="580" w:lineRule="exact"/>
        <w:ind w:firstLine="640"/>
        <w:rPr>
          <w:rFonts w:ascii="黑体" w:eastAsia="黑体" w:hAnsi="黑体" w:cs="黑体"/>
          <w:color w:val="1C1F23"/>
          <w:sz w:val="32"/>
          <w:szCs w:val="32"/>
          <w:shd w:val="clear" w:color="auto" w:fill="FFFFFF"/>
        </w:rPr>
      </w:pPr>
      <w:r>
        <w:rPr>
          <w:rFonts w:ascii="黑体" w:eastAsia="黑体" w:hAnsi="黑体" w:cs="黑体" w:hint="eastAsia"/>
          <w:color w:val="1C1F23"/>
          <w:sz w:val="32"/>
          <w:szCs w:val="32"/>
          <w:shd w:val="clear" w:color="auto" w:fill="FFFFFF"/>
        </w:rPr>
        <w:lastRenderedPageBreak/>
        <w:t>企业出海与跨境产业服务场景</w:t>
      </w:r>
    </w:p>
    <w:p w14:paraId="65FF45D2" w14:textId="77777777" w:rsidR="00B85FFA" w:rsidRDefault="00000000">
      <w:pPr>
        <w:numPr>
          <w:ilvl w:val="255"/>
          <w:numId w:val="0"/>
        </w:numPr>
        <w:spacing w:line="580" w:lineRule="exact"/>
        <w:ind w:firstLineChars="200" w:firstLine="640"/>
        <w:rPr>
          <w:rFonts w:ascii="仿宋_GB2312" w:eastAsia="仿宋_GB2312" w:hAnsi="仿宋_GB2312" w:cs="仿宋_GB2312"/>
          <w:color w:val="1C1F23"/>
          <w:sz w:val="32"/>
          <w:szCs w:val="32"/>
          <w:shd w:val="clear" w:color="auto" w:fill="FFFFFF"/>
        </w:rPr>
      </w:pPr>
      <w:r>
        <w:rPr>
          <w:rFonts w:ascii="仿宋_GB2312" w:eastAsia="仿宋_GB2312" w:hAnsi="仿宋_GB2312" w:cs="仿宋_GB2312" w:hint="eastAsia"/>
          <w:color w:val="1C1F23"/>
          <w:sz w:val="32"/>
          <w:szCs w:val="32"/>
          <w:shd w:val="clear" w:color="auto" w:fill="FFFFFF"/>
        </w:rPr>
        <w:t>覆盖产品出海、产能出海、产业链出海全流程，链接跨国供应链合作伙伴，推动建立“跨境金融+产业生态”服务体系。结合物联网、区块链、人工智能大模型技术，助力金融机构创新服务模式，完善跨境贸易金融产品和服务供给，迭代优化全链路的国际结算、科创企业跨境融资、跨境并购、信用证等</w:t>
      </w:r>
      <w:r>
        <w:rPr>
          <w:rFonts w:ascii="仿宋_GB2312" w:eastAsia="仿宋_GB2312" w:hAnsi="仿宋_GB2312" w:cs="仿宋_GB2312" w:hint="eastAsia"/>
          <w:sz w:val="32"/>
          <w:szCs w:val="32"/>
        </w:rPr>
        <w:t>服务模式</w:t>
      </w:r>
      <w:r>
        <w:rPr>
          <w:rFonts w:ascii="仿宋_GB2312" w:eastAsia="仿宋_GB2312" w:hAnsi="仿宋_GB2312" w:cs="仿宋_GB2312" w:hint="eastAsia"/>
          <w:color w:val="1C1F23"/>
          <w:sz w:val="32"/>
          <w:szCs w:val="32"/>
          <w:shd w:val="clear" w:color="auto" w:fill="FFFFFF"/>
        </w:rPr>
        <w:t>，</w:t>
      </w:r>
      <w:r>
        <w:rPr>
          <w:rFonts w:ascii="仿宋_GB2312" w:eastAsia="仿宋_GB2312" w:hAnsi="仿宋_GB2312" w:cs="仿宋_GB2312" w:hint="eastAsia"/>
          <w:sz w:val="32"/>
          <w:szCs w:val="32"/>
        </w:rPr>
        <w:t>提升跨境金融服务便利性，支持我国中小企业拓展海外市场，更好融入全球产业链供应链体系</w:t>
      </w:r>
      <w:r>
        <w:rPr>
          <w:rFonts w:ascii="仿宋_GB2312" w:eastAsia="仿宋_GB2312" w:hAnsi="仿宋_GB2312" w:cs="仿宋_GB2312" w:hint="eastAsia"/>
          <w:color w:val="1C1F23"/>
          <w:sz w:val="32"/>
          <w:szCs w:val="32"/>
          <w:shd w:val="clear" w:color="auto" w:fill="FFFFFF"/>
        </w:rPr>
        <w:t>。</w:t>
      </w:r>
    </w:p>
    <w:p w14:paraId="21B54698" w14:textId="77777777" w:rsidR="00B85FFA" w:rsidRDefault="00000000">
      <w:pPr>
        <w:numPr>
          <w:ilvl w:val="0"/>
          <w:numId w:val="1"/>
        </w:numPr>
        <w:spacing w:line="580" w:lineRule="exact"/>
        <w:ind w:firstLine="640"/>
        <w:rPr>
          <w:rFonts w:ascii="黑体" w:eastAsia="黑体" w:hAnsi="黑体" w:cs="黑体"/>
          <w:color w:val="1C1F23"/>
          <w:sz w:val="32"/>
          <w:szCs w:val="32"/>
          <w:shd w:val="clear" w:color="auto" w:fill="FFFFFF"/>
        </w:rPr>
      </w:pPr>
      <w:r>
        <w:rPr>
          <w:rFonts w:ascii="黑体" w:eastAsia="黑体" w:hAnsi="黑体" w:cs="黑体" w:hint="eastAsia"/>
          <w:color w:val="1C1F23"/>
          <w:sz w:val="32"/>
          <w:szCs w:val="32"/>
          <w:shd w:val="clear" w:color="auto" w:fill="FFFFFF"/>
        </w:rPr>
        <w:t>科技成果转化产业化场景</w:t>
      </w:r>
    </w:p>
    <w:p w14:paraId="208E216E" w14:textId="77777777" w:rsidR="00B85FFA" w:rsidRDefault="00000000">
      <w:pPr>
        <w:spacing w:line="580" w:lineRule="exact"/>
        <w:ind w:firstLineChars="200" w:firstLine="653"/>
        <w:rPr>
          <w:rFonts w:ascii="仿宋_GB2312" w:eastAsia="仿宋_GB2312"/>
          <w:sz w:val="32"/>
          <w:szCs w:val="32"/>
        </w:rPr>
      </w:pPr>
      <w:r>
        <w:rPr>
          <w:rFonts w:ascii="仿宋_GB2312" w:eastAsia="仿宋_GB2312"/>
          <w:b/>
          <w:bCs/>
          <w:sz w:val="32"/>
          <w:szCs w:val="32"/>
        </w:rPr>
        <w:t>转化</w:t>
      </w:r>
      <w:r>
        <w:rPr>
          <w:rFonts w:ascii="仿宋_GB2312" w:eastAsia="仿宋_GB2312" w:hint="eastAsia"/>
          <w:b/>
          <w:bCs/>
          <w:sz w:val="32"/>
          <w:szCs w:val="32"/>
        </w:rPr>
        <w:t>早期阶段</w:t>
      </w:r>
      <w:r>
        <w:rPr>
          <w:rFonts w:ascii="仿宋_GB2312" w:eastAsia="仿宋_GB2312" w:hint="eastAsia"/>
          <w:sz w:val="32"/>
          <w:szCs w:val="32"/>
        </w:rPr>
        <w:t>，扩大以企业的知识产权为核心资产的金融创新产品的推广应用，促进企业专利、商标、著作权等知识产权价值的评估体系和评估模式持续优化完善，迭代优化知识产权质押贷款、知识产权证券化等金融产品。帮助企业盘活知识产权资产，有效疏通产业链、创新链、资金链和人才链“四链”融合中的堵点。</w:t>
      </w:r>
    </w:p>
    <w:p w14:paraId="76516644" w14:textId="77777777" w:rsidR="00B85FFA" w:rsidRDefault="00000000">
      <w:pPr>
        <w:ind w:firstLineChars="200" w:firstLine="653"/>
        <w:rPr>
          <w:rFonts w:ascii="仿宋_GB2312" w:eastAsia="仿宋_GB2312" w:hAnsi="仿宋_GB2312" w:cs="仿宋_GB2312"/>
          <w:color w:val="1C1F23"/>
          <w:sz w:val="32"/>
          <w:szCs w:val="32"/>
          <w:shd w:val="clear" w:color="auto" w:fill="FFFFFF"/>
        </w:rPr>
      </w:pPr>
      <w:r>
        <w:rPr>
          <w:rFonts w:ascii="仿宋_GB2312" w:eastAsia="仿宋_GB2312"/>
          <w:b/>
          <w:bCs/>
          <w:sz w:val="32"/>
          <w:szCs w:val="32"/>
        </w:rPr>
        <w:t>中试</w:t>
      </w:r>
      <w:r>
        <w:rPr>
          <w:rFonts w:ascii="仿宋_GB2312" w:eastAsia="仿宋_GB2312" w:hint="eastAsia"/>
          <w:b/>
          <w:bCs/>
          <w:sz w:val="32"/>
          <w:szCs w:val="32"/>
        </w:rPr>
        <w:t>熟化阶段</w:t>
      </w:r>
      <w:r>
        <w:rPr>
          <w:rFonts w:ascii="仿宋_GB2312" w:eastAsia="仿宋_GB2312" w:hint="eastAsia"/>
          <w:sz w:val="32"/>
          <w:szCs w:val="32"/>
        </w:rPr>
        <w:t>，</w:t>
      </w:r>
      <w:r>
        <w:rPr>
          <w:rFonts w:ascii="仿宋_GB2312" w:eastAsia="仿宋_GB2312" w:hAnsi="仿宋_GB2312" w:cs="仿宋_GB2312" w:hint="eastAsia"/>
          <w:color w:val="1C1F23"/>
          <w:sz w:val="32"/>
          <w:szCs w:val="32"/>
          <w:shd w:val="clear" w:color="auto" w:fill="FFFFFF"/>
        </w:rPr>
        <w:t>针对中试投资大、风险高的特点，为中试平台及中试项目提供“专项贷款+风险保障+技术评价”综合金融方案</w:t>
      </w:r>
      <w:r>
        <w:rPr>
          <w:rFonts w:ascii="仿宋_GB2312" w:eastAsia="仿宋_GB2312" w:hAnsi="仿宋_GB2312" w:cs="仿宋_GB2312" w:hint="eastAsia"/>
          <w:sz w:val="32"/>
          <w:szCs w:val="32"/>
        </w:rPr>
        <w:t>，</w:t>
      </w:r>
      <w:r>
        <w:rPr>
          <w:rFonts w:ascii="仿宋_GB2312" w:eastAsia="仿宋_GB2312" w:hAnsi="仿宋_GB2312" w:cs="仿宋_GB2312" w:hint="eastAsia"/>
          <w:color w:val="1C1F23"/>
          <w:sz w:val="32"/>
          <w:szCs w:val="32"/>
          <w:shd w:val="clear" w:color="auto" w:fill="FFFFFF"/>
        </w:rPr>
        <w:t>加快创新型中试保险业务、中试专项贷款落地应用，同时匹配项目管理和专业技术评价服务，降低中试阶段风险与成本。</w:t>
      </w:r>
    </w:p>
    <w:p w14:paraId="1263F596" w14:textId="77777777" w:rsidR="00B85FFA" w:rsidRDefault="00000000">
      <w:pPr>
        <w:spacing w:line="580" w:lineRule="exact"/>
        <w:ind w:firstLineChars="200" w:firstLine="653"/>
        <w:rPr>
          <w:rFonts w:ascii="仿宋_GB2312" w:eastAsia="仿宋_GB2312"/>
          <w:sz w:val="32"/>
          <w:szCs w:val="32"/>
        </w:rPr>
      </w:pPr>
      <w:r>
        <w:rPr>
          <w:rFonts w:ascii="仿宋_GB2312" w:eastAsia="仿宋_GB2312" w:hint="eastAsia"/>
          <w:b/>
          <w:bCs/>
          <w:sz w:val="32"/>
          <w:szCs w:val="32"/>
        </w:rPr>
        <w:t>产业化阶段</w:t>
      </w:r>
      <w:r>
        <w:rPr>
          <w:rFonts w:ascii="仿宋_GB2312" w:eastAsia="仿宋_GB2312" w:hint="eastAsia"/>
          <w:sz w:val="32"/>
          <w:szCs w:val="32"/>
        </w:rPr>
        <w:t>，推动政府、科研机构、企业、科技中介服务机构、金融机构加强联动，探索开展多样化的融资服务模式，为科技成果的转化和产业化提供全方位多元化的金融支</w:t>
      </w:r>
      <w:r>
        <w:rPr>
          <w:rFonts w:ascii="仿宋_GB2312" w:eastAsia="仿宋_GB2312" w:hint="eastAsia"/>
          <w:sz w:val="32"/>
          <w:szCs w:val="32"/>
        </w:rPr>
        <w:lastRenderedPageBreak/>
        <w:t>持方案。</w:t>
      </w:r>
      <w:r>
        <w:rPr>
          <w:rFonts w:ascii="仿宋_GB2312" w:eastAsia="仿宋_GB2312" w:hAnsi="仿宋_GB2312" w:cs="仿宋_GB2312" w:hint="eastAsia"/>
          <w:color w:val="1C1F23"/>
          <w:sz w:val="32"/>
          <w:szCs w:val="32"/>
          <w:shd w:val="clear" w:color="auto" w:fill="FFFFFF"/>
        </w:rPr>
        <w:t>开展创新成果项目路演等活动，优化硬科技属性和创新属性评价体系，促进社会资本投早、投小、投长期、投硬科技。</w:t>
      </w:r>
    </w:p>
    <w:p w14:paraId="1BF9F412" w14:textId="77777777" w:rsidR="00B85FFA" w:rsidRDefault="00000000">
      <w:pPr>
        <w:numPr>
          <w:ilvl w:val="0"/>
          <w:numId w:val="1"/>
        </w:numPr>
        <w:spacing w:line="580" w:lineRule="exact"/>
        <w:ind w:firstLine="640"/>
        <w:rPr>
          <w:rFonts w:ascii="黑体" w:eastAsia="黑体" w:hAnsi="黑体" w:cs="黑体"/>
          <w:color w:val="1C1F23"/>
          <w:sz w:val="32"/>
          <w:szCs w:val="32"/>
          <w:shd w:val="clear" w:color="auto" w:fill="FFFFFF"/>
        </w:rPr>
      </w:pPr>
      <w:r>
        <w:rPr>
          <w:rFonts w:ascii="黑体" w:eastAsia="黑体" w:hAnsi="黑体" w:cs="黑体" w:hint="eastAsia"/>
          <w:color w:val="1C1F23"/>
          <w:sz w:val="32"/>
          <w:szCs w:val="32"/>
          <w:shd w:val="clear" w:color="auto" w:fill="FFFFFF"/>
        </w:rPr>
        <w:t>大中小企业融通发展及产业转移场景</w:t>
      </w:r>
    </w:p>
    <w:p w14:paraId="6FD94E65" w14:textId="77777777" w:rsidR="00B85FFA" w:rsidRDefault="00000000">
      <w:pPr>
        <w:spacing w:line="580" w:lineRule="exact"/>
        <w:ind w:firstLineChars="200" w:firstLine="640"/>
        <w:rPr>
          <w:rFonts w:ascii="仿宋_GB2312" w:eastAsia="仿宋_GB2312" w:hAnsi="仿宋_GB2312" w:cs="仿宋_GB2312"/>
          <w:color w:val="1C1F23"/>
          <w:sz w:val="32"/>
          <w:szCs w:val="32"/>
          <w:shd w:val="clear" w:color="auto" w:fill="FFFFFF"/>
        </w:rPr>
      </w:pPr>
      <w:r>
        <w:rPr>
          <w:rFonts w:ascii="仿宋_GB2312" w:eastAsia="仿宋_GB2312" w:hAnsi="仿宋_GB2312" w:cs="仿宋_GB2312" w:hint="eastAsia"/>
          <w:color w:val="1C1F23"/>
          <w:sz w:val="32"/>
          <w:szCs w:val="32"/>
          <w:shd w:val="clear" w:color="auto" w:fill="FFFFFF"/>
        </w:rPr>
        <w:t>围绕重点产业龙头企业、上市公司技术创新、产业链配套、研发协同等融通发展需求，引导金融机构运用贷款、债券、股权、保险等多样化工具，为产业链链主企业及其重要配套企业提供综合金融服务。推动金融机构优化完善并购贷款、固定资产贷款、银团贷款等服务，为产业链上下游并购、产业跨区域转移不同模式提供融资支持</w:t>
      </w:r>
      <w:r>
        <w:rPr>
          <w:rFonts w:ascii="仿宋_GB2312" w:eastAsia="仿宋_GB2312" w:hAnsi="仿宋_GB2312" w:cs="仿宋_GB2312" w:hint="eastAsia"/>
          <w:sz w:val="32"/>
          <w:szCs w:val="32"/>
        </w:rPr>
        <w:t>，</w:t>
      </w:r>
      <w:r>
        <w:rPr>
          <w:rFonts w:ascii="仿宋_GB2312" w:eastAsia="仿宋_GB2312" w:hAnsi="仿宋_GB2312" w:cs="仿宋_GB2312" w:hint="eastAsia"/>
          <w:color w:val="1C1F23"/>
          <w:sz w:val="32"/>
          <w:szCs w:val="32"/>
          <w:shd w:val="clear" w:color="auto" w:fill="FFFFFF"/>
        </w:rPr>
        <w:t>促进产业链创新要素融通流动，助力产业区域布局进一步优化。</w:t>
      </w:r>
    </w:p>
    <w:p w14:paraId="40CE391A" w14:textId="77777777" w:rsidR="00B85FFA" w:rsidRDefault="00000000">
      <w:pPr>
        <w:numPr>
          <w:ilvl w:val="0"/>
          <w:numId w:val="1"/>
        </w:numPr>
        <w:spacing w:line="580" w:lineRule="exact"/>
        <w:ind w:firstLine="640"/>
        <w:rPr>
          <w:rFonts w:ascii="黑体" w:eastAsia="黑体" w:hAnsi="黑体" w:cs="黑体"/>
          <w:color w:val="1C1F23"/>
          <w:sz w:val="32"/>
          <w:szCs w:val="32"/>
          <w:shd w:val="clear" w:color="auto" w:fill="FFFFFF"/>
        </w:rPr>
      </w:pPr>
      <w:r>
        <w:rPr>
          <w:rFonts w:ascii="黑体" w:eastAsia="黑体" w:hAnsi="黑体" w:cs="黑体" w:hint="eastAsia"/>
          <w:color w:val="1C1F23"/>
          <w:sz w:val="32"/>
          <w:szCs w:val="32"/>
          <w:shd w:val="clear" w:color="auto" w:fill="FFFFFF"/>
        </w:rPr>
        <w:t>其他新质生产力培育壮大场景</w:t>
      </w:r>
    </w:p>
    <w:p w14:paraId="536D180F" w14:textId="77777777" w:rsidR="00B85FFA" w:rsidRDefault="00000000">
      <w:pPr>
        <w:spacing w:line="580" w:lineRule="exact"/>
        <w:ind w:firstLineChars="200" w:firstLine="640"/>
        <w:rPr>
          <w:rFonts w:ascii="仿宋_GB2312" w:eastAsia="仿宋_GB2312"/>
          <w:sz w:val="32"/>
          <w:szCs w:val="32"/>
        </w:rPr>
      </w:pPr>
      <w:r>
        <w:rPr>
          <w:rFonts w:ascii="仿宋_GB2312" w:eastAsia="仿宋_GB2312" w:hint="eastAsia"/>
          <w:sz w:val="32"/>
          <w:szCs w:val="32"/>
        </w:rPr>
        <w:t>除以上七大场景之外，围绕加快推进新型工业化的工作要求和工作任务，聚焦传统产业转型升级、新兴产业未来产业培育壮大等新质生产力培育特定环节和特定金融需求，中国中小企业服务网与金融机构深化合作，强化数据赋能，提升金融服务实体经济质效。</w:t>
      </w:r>
    </w:p>
    <w:p w14:paraId="77BC606F" w14:textId="77777777" w:rsidR="00B85FFA" w:rsidRDefault="00B85FFA">
      <w:pPr>
        <w:spacing w:line="580" w:lineRule="exact"/>
        <w:rPr>
          <w:rFonts w:ascii="黑体" w:eastAsia="黑体" w:hAnsi="黑体" w:cs="黑体"/>
          <w:sz w:val="32"/>
          <w:szCs w:val="32"/>
        </w:rPr>
      </w:pPr>
    </w:p>
    <w:p w14:paraId="6548E131" w14:textId="77777777" w:rsidR="00B85FFA" w:rsidRDefault="00B85FFA"/>
    <w:sectPr w:rsidR="00B85FF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7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1" w:csb1="00000000"/>
  </w:font>
  <w:font w:name="仿宋_GB2312">
    <w:panose1 w:val="020B0604020202020204"/>
    <w:charset w:val="86"/>
    <w:family w:val="modern"/>
    <w:pitch w:val="fixed"/>
    <w:sig w:usb0="00000001" w:usb1="080E0000" w:usb2="00000010"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D5B1642"/>
    <w:multiLevelType w:val="singleLevel"/>
    <w:tmpl w:val="BD5B1642"/>
    <w:lvl w:ilvl="0">
      <w:start w:val="1"/>
      <w:numFmt w:val="chineseCounting"/>
      <w:suff w:val="nothing"/>
      <w:lvlText w:val="%1、"/>
      <w:lvlJc w:val="left"/>
      <w:pPr>
        <w:ind w:left="200"/>
      </w:pPr>
      <w:rPr>
        <w:rFonts w:hint="eastAsia"/>
      </w:rPr>
    </w:lvl>
  </w:abstractNum>
  <w:num w:numId="1" w16cid:durableId="15839541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4"/>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5DB9344B"/>
    <w:rsid w:val="00B85FFA"/>
    <w:rsid w:val="00DC45ED"/>
    <w:rsid w:val="00F40B95"/>
    <w:rsid w:val="5DB934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docId w15:val="{E8F89139-31AA-454D-A417-4E82DB764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286</Words>
  <Characters>1636</Characters>
  <Application>Microsoft Office Word</Application>
  <DocSecurity>0</DocSecurity>
  <Lines>13</Lines>
  <Paragraphs>3</Paragraphs>
  <ScaleCrop>false</ScaleCrop>
  <Company/>
  <LinksUpToDate>false</LinksUpToDate>
  <CharactersWithSpaces>1919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赵佳义</dc:creator>
  <cp:lastModifiedBy>e40636</cp:lastModifiedBy>
  <cp:revision>2</cp:revision>
  <dcterms:created xsi:type="dcterms:W3CDTF">2025-11-20T08:32:00Z</dcterms:created>
  <dcterms:modified xsi:type="dcterms:W3CDTF">2025-11-20T08:32:00Z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BF32864BD4AC42159A5AB2069E4C60FC_11</vt:lpwstr>
  </property>
  <property fmtid="{D5CDD505-2E9C-101B-9397-08002B2CF9AE}" pid="4" name="KSOTemplateDocerSaveRecord">
    <vt:lpwstr>eyJoZGlkIjoiYjFjMzVlYjNiNjNkMDNkZmRhZTM5YjI0N2Q5YmQ4NjAiLCJ1c2VySWQiOiIzMTY2OTU1MDkifQ==</vt:lpwstr>
  </property>
</Properties>
</file>